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24" w:rsidRPr="00F73824" w:rsidRDefault="00F73824" w:rsidP="00F73824">
      <w:pPr>
        <w:spacing w:before="100" w:beforeAutospacing="1" w:after="100" w:afterAutospacing="1" w:line="240" w:lineRule="auto"/>
        <w:ind w:left="168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 xml:space="preserve">                                             </w:t>
      </w:r>
      <w:r w:rsidRPr="00F73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NACRT 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50. stavka 4. i članka 148. stavka 5. Zakona o zdravstvenoj zaštiti („</w:t>
      </w: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150/08, 71/10, 139/10, 22/11, 84/11, 12/12, 35/12, 70/12, 82/13, 22/14 i 131/17) 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na temelju članka 11. stavka 4. i članka 12. stavka 4. Zakona o ljekarništvu („Narodne novine“, br. 121/03, 35/08 i 117/08) uz prethodno pribavljeno mišljenje nadležnih komora te na prijedlog Hrvatske ljekarničke komore ministar zdravstva donosi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DOPUNAMA PRAVILNIKA O MINIMALNIM UVJETIMA U POGLEDU PROSTORA, RADNIKA I MEDICINSKO-TEHNIČKE OPREME ZA OBAVLJANJE ZDRAVSTVENE DJELATNOSTI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minimalnim uvjetima u pogledu prostora, radnika i medicinsko-tehničke opreme za obavljanje zdravstvene djelatnosti („Narodne novine“, br. 61/11, 128/12, 124/15 i 8/16) u članku 14. iza </w:t>
      </w:r>
      <w:r w:rsidRPr="00F73824">
        <w:rPr>
          <w:rFonts w:ascii="Times New Roman" w:hAnsi="Times New Roman" w:cs="Times New Roman"/>
          <w:sz w:val="24"/>
          <w:szCs w:val="24"/>
        </w:rPr>
        <w:t>stavka 3. dodaje se novi stavak 4. koji glasi: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Times New Roman" w:hAnsi="Times New Roman" w:cs="Times New Roman"/>
          <w:sz w:val="24"/>
          <w:szCs w:val="24"/>
        </w:rPr>
        <w:t xml:space="preserve">Ordinacije u kojima se obavljaju minimalno invazivni i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nekirurški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zahvati primjene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hijaluronskih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punila i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toksina tipa A, moraju imati doktora medicine koji ima odgovarajući dokaz o završenoj edukaciji izdan od nadležnog stručnog društva Hrvatskog liječničkog zbora.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4. postaje stavak 5.</w:t>
      </w:r>
    </w:p>
    <w:p w:rsidR="00F73824" w:rsidRPr="00F73824" w:rsidRDefault="00F73824" w:rsidP="00F738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15. iza stavka 7. dodaje se novi stavak 8. koji glasi: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„Hrvatska komora dentalne medicine utvrđuje popis medicinsko-tehničke opreme u ordinaciji dentalne medicine koja mora imati potvrdu o tehničkoj ispravnosti opreme koju izdaje ovlašteni servis.“.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8. do 12. postaju stavci 9. do 13.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11. koji postaje stavak 12. točka se zamjenjuje zarezom te se dodaju riječi: „odnosno od Hrvatske komore dentalne medicine.“.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24">
        <w:rPr>
          <w:rFonts w:ascii="Times New Roman" w:hAnsi="Times New Roman" w:cs="Times New Roman"/>
          <w:sz w:val="24"/>
          <w:szCs w:val="24"/>
        </w:rPr>
        <w:t>U članku 17. iza stavka 3. dodaje se novi stavak 4. koji glasi: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Times New Roman" w:hAnsi="Times New Roman" w:cs="Times New Roman"/>
          <w:sz w:val="24"/>
          <w:szCs w:val="24"/>
        </w:rPr>
        <w:t xml:space="preserve">Specijalistička ordinacija u kojoj se obavljaju minimalno invazivni i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nekirurški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zahvati primjene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hijaluronskih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punila i </w:t>
      </w:r>
      <w:proofErr w:type="spellStart"/>
      <w:r w:rsidRPr="00F73824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F73824">
        <w:rPr>
          <w:rFonts w:ascii="Times New Roman" w:hAnsi="Times New Roman" w:cs="Times New Roman"/>
          <w:sz w:val="24"/>
          <w:szCs w:val="24"/>
        </w:rPr>
        <w:t xml:space="preserve"> toksina tipa A, mora imati doktora medicine specijalista koji je kompetencije za navedene zahvate stekao u okviru specijalističkog usavršavanja ili ima odgovarajući dokaz o završenoj edukaciji izdan od nadležnog stručnog društva Hrvatskog liječničkog zbora.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Dosadašnji stavak 4. postaje stavak 5. 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</w:t>
      </w:r>
    </w:p>
    <w:p w:rsidR="00F73824" w:rsidRPr="00F73824" w:rsidRDefault="00F73824" w:rsidP="00F738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23. stavku 2. brišu se riječi: „zaštitne naočale za lijevanje,“.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Stavak 3. mijenja se i glasi: 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„Ako dentalni laboratorij ima ljevaonicu, ista mora imati: ljevač, peć za žarenje, ventilaciju i zaštitne naočale za lijevanje.“.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F73824" w:rsidRPr="00F73824" w:rsidRDefault="00F73824" w:rsidP="00F73824">
      <w:pPr>
        <w:spacing w:before="100" w:beforeAutospacing="1" w:after="100" w:afterAutospacing="1" w:line="240" w:lineRule="auto"/>
        <w:outlineLvl w:val="0"/>
        <w:rPr>
          <w:color w:val="000000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29. stavak 3. mijenja se i glasi:</w:t>
      </w:r>
    </w:p>
    <w:p w:rsidR="00F73824" w:rsidRPr="00F73824" w:rsidRDefault="00F73824" w:rsidP="00F7382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„Uz uvjete iz stavaka 1. i 2. ovoga članka, za obavljanje djelatnosti palijativne skrbi u stacionaru doma zdravlja potrebno je osigurati i bolesničku sobu, koja može imati najviše tri postelje, koje se mogu odijeliti paravanima i moraju biti opremljene sa </w:t>
      </w:r>
      <w:proofErr w:type="spellStart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antidekubitalnim</w:t>
      </w:r>
      <w:proofErr w:type="spellEnd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madracima pri čemu je potrebno osigurati jedan kompresijski </w:t>
      </w:r>
      <w:proofErr w:type="spellStart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antidekubitalni</w:t>
      </w:r>
      <w:proofErr w:type="spellEnd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madrac na svaka tri </w:t>
      </w:r>
      <w:proofErr w:type="spellStart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antidekubitalna</w:t>
      </w:r>
      <w:proofErr w:type="spellEnd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madraca. Soba mora biti uređena na način da nalikuje prostorijama za stanovanje i mora imati ležaj ili naslonjač za rasklapanje ili naslonjač i podložak za noge, za noćni smještaj pacijentove obitelji.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4. mijenja se i glasi:</w:t>
      </w:r>
    </w:p>
    <w:p w:rsidR="00F73824" w:rsidRPr="00F73824" w:rsidRDefault="00F73824" w:rsidP="00F7382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„Radnici: 2 medicinske sestre opće njege na 8 bolesnika (od čega 15% prvostupnica sestrinstva) s posebnom edukacijom iz palijativne skrbi za 8 sati radnog vremena; na raspolaganju:1 doktora medicine specijalistu s posebnom edukacijom iz palijativne skrbi na 10 bolesnika, 1 stručnog </w:t>
      </w:r>
      <w:proofErr w:type="spellStart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prvostupnika</w:t>
      </w:r>
      <w:proofErr w:type="spellEnd"/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fizioterapije na 20 bolesnika s posebnom edukacijom iz palijativne skrbi, magistra socijalnog rada s posebnom edukacijom za pristup bolesniku na palijativnoj skrbi, doktora medicine specijalistu psihijatrije ili magistra psihologije s posebnom edukacijom za pristup bolesniku na palijativnoj skrbi, radnog terapeuta s posebnom edukacijom za pristup bolesniku na palijativnoj skrbi.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:rsidR="00F73824" w:rsidRPr="00F73824" w:rsidRDefault="00F73824" w:rsidP="00F73824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Iza članka 35. dodaju se članci 35.a do 35.e s naslovima iznad njih koji glase:</w:t>
      </w: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Times New Roman" w:eastAsia="Cambria" w:hAnsi="Times New Roman" w:cs="Times New Roman"/>
          <w:i/>
          <w:sz w:val="24"/>
          <w:szCs w:val="24"/>
        </w:rPr>
        <w:t>Djelatnost medicine spavanja (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somnologija</w:t>
      </w:r>
      <w:proofErr w:type="spellEnd"/>
      <w:r w:rsidRPr="00F73824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Članak 35.a</w:t>
      </w:r>
    </w:p>
    <w:p w:rsidR="00F73824" w:rsidRPr="00F73824" w:rsidRDefault="00F73824" w:rsidP="00F7382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</w:t>
      </w:r>
      <w:r w:rsidRPr="00F73824">
        <w:rPr>
          <w:rFonts w:ascii="Times New Roman" w:eastAsia="Cambria" w:hAnsi="Times New Roman" w:cs="Times New Roman"/>
          <w:sz w:val="24"/>
          <w:szCs w:val="24"/>
        </w:rPr>
        <w:t>medicine spavanja obavlja se u centru za medicinu spavanja i specijaliziranom laboratoriju za poremećaje disanja tijekom spavanja.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widowControl w:val="0"/>
        <w:autoSpaceDE w:val="0"/>
        <w:autoSpaceDN w:val="0"/>
        <w:adjustRightInd w:val="0"/>
        <w:spacing w:before="85" w:after="43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1"/>
          <w:lang w:eastAsia="hr-HR"/>
        </w:rPr>
      </w:pPr>
      <w:r w:rsidRPr="00F73824">
        <w:rPr>
          <w:rFonts w:ascii="Times New Roman" w:eastAsia="Times New Roman" w:hAnsi="Times New Roman" w:cs="Times New Roman"/>
          <w:i/>
          <w:iCs/>
          <w:sz w:val="24"/>
          <w:szCs w:val="21"/>
          <w:lang w:eastAsia="hr-HR"/>
        </w:rPr>
        <w:t>Centar za medicinu spavanja</w:t>
      </w:r>
    </w:p>
    <w:p w:rsidR="00F73824" w:rsidRPr="00F73824" w:rsidRDefault="00F73824" w:rsidP="00F73824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Članak 35.b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djelatnosti medicine spavanja u centru za medicinu spavanja potrebno je osigurati </w:t>
      </w: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sljedeće prostorije:</w:t>
      </w:r>
    </w:p>
    <w:p w:rsidR="00F73824" w:rsidRPr="00F73824" w:rsidRDefault="00F73824" w:rsidP="00F73824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prostoriju za 1 osobu za izvođenje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cjelonoćnih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polisomnografskih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ili poligrafskih snimanja od najmanje 12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</w:p>
    <w:p w:rsidR="00F73824" w:rsidRPr="00F73824" w:rsidRDefault="00F73824" w:rsidP="00F73824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radni analitički prostor od najmanje 12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</w:p>
    <w:p w:rsidR="00F73824" w:rsidRPr="000333D2" w:rsidRDefault="00F73824" w:rsidP="00F73824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0333D2">
        <w:rPr>
          <w:rFonts w:ascii="Times New Roman" w:eastAsia="Times New Roman" w:hAnsi="Times New Roman" w:cs="Times New Roman"/>
          <w:sz w:val="24"/>
          <w:szCs w:val="19"/>
          <w:lang w:eastAsia="hr-HR"/>
        </w:rPr>
        <w:t>spremište od najmanje 2 m</w:t>
      </w:r>
      <w:r w:rsidRPr="000333D2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</w:p>
    <w:p w:rsidR="00F73824" w:rsidRPr="00F73824" w:rsidRDefault="00F73824" w:rsidP="00F73824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prostoriju za prijam ispitanika i administrativne poslove od najmanje 9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 time da širina ili dužina ne mogu biti manje od 3 m</w:t>
      </w:r>
    </w:p>
    <w:p w:rsidR="00F73824" w:rsidRPr="00F73824" w:rsidRDefault="00F73824" w:rsidP="00F73824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sanitarni čvor za osoblje i sanitarni čvor za ispitanike.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Centar za medicinu spavanja mora imati sljedeću obveznu opću opremu:</w:t>
      </w:r>
    </w:p>
    <w:p w:rsidR="00F73824" w:rsidRPr="00F73824" w:rsidRDefault="00F73824" w:rsidP="00F73824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uređaj za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cjelonoćnu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polisomnografiju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 pripadajućom računalnom opremom i softverom za analizu i pisač</w:t>
      </w:r>
    </w:p>
    <w:p w:rsidR="00F73824" w:rsidRPr="00F73824" w:rsidRDefault="00F73824" w:rsidP="00F73824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video nadzor u prostorijama za izvođenje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cijelonoćnih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polisomnografskih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snimanja </w:t>
      </w:r>
    </w:p>
    <w:p w:rsidR="00F73824" w:rsidRPr="00F73824" w:rsidRDefault="00F73824" w:rsidP="00F73824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uređaj za poligrafsko snimanje poremećaja disanja tijekom spavanja s pripadajućom računalnom opremom i softverom za analizu </w:t>
      </w:r>
    </w:p>
    <w:p w:rsidR="00F73824" w:rsidRPr="00F73824" w:rsidRDefault="00F73824" w:rsidP="00F73824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PAP uređaj (CPAP, APAP, BIPAP)  </w:t>
      </w:r>
    </w:p>
    <w:p w:rsidR="00F73824" w:rsidRPr="00F73824" w:rsidRDefault="00F73824" w:rsidP="00F73824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pripadajuće maske različitih veličina.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896F71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896F71">
        <w:rPr>
          <w:rFonts w:ascii="Times New Roman" w:eastAsia="Times New Roman" w:hAnsi="Times New Roman" w:cs="Times New Roman"/>
          <w:iCs/>
          <w:color w:val="FF0000"/>
          <w:sz w:val="24"/>
          <w:szCs w:val="19"/>
          <w:lang w:eastAsia="hr-HR"/>
        </w:rPr>
        <w:t xml:space="preserve"> </w:t>
      </w:r>
      <w:r w:rsidRPr="00896F71">
        <w:rPr>
          <w:rFonts w:ascii="Times New Roman" w:eastAsia="Times New Roman" w:hAnsi="Times New Roman" w:cs="Times New Roman"/>
          <w:iCs/>
          <w:sz w:val="24"/>
          <w:szCs w:val="19"/>
          <w:lang w:eastAsia="hr-HR"/>
        </w:rPr>
        <w:t xml:space="preserve">Centar za medicinu spavanja može imati sljedeću specifičnu opremu: </w:t>
      </w:r>
    </w:p>
    <w:p w:rsidR="00F73824" w:rsidRPr="00896F71" w:rsidRDefault="00F73824" w:rsidP="00F73824">
      <w:pPr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uređaj za </w:t>
      </w:r>
      <w:proofErr w:type="spellStart"/>
      <w:r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>aktigrafiju</w:t>
      </w:r>
      <w:proofErr w:type="spellEnd"/>
      <w:r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</w:p>
    <w:p w:rsidR="00896F71" w:rsidRPr="00896F71" w:rsidRDefault="00F73824" w:rsidP="00896F71">
      <w:pPr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896F71">
        <w:rPr>
          <w:rFonts w:ascii="Times New Roman" w:hAnsi="Times New Roman" w:cs="Times New Roman"/>
          <w:lang w:eastAsia="hr-HR"/>
        </w:rPr>
        <w:t>uređaj za</w:t>
      </w:r>
      <w:r w:rsidR="005E33B1" w:rsidRPr="00896F71">
        <w:rPr>
          <w:rFonts w:ascii="Times New Roman" w:hAnsi="Times New Roman" w:cs="Times New Roman"/>
          <w:lang w:eastAsia="hr-HR"/>
        </w:rPr>
        <w:t xml:space="preserve"> pH-metriju,</w:t>
      </w:r>
      <w:r w:rsidR="00B12A53">
        <w:rPr>
          <w:rFonts w:ascii="Times New Roman" w:hAnsi="Times New Roman" w:cs="Times New Roman"/>
          <w:lang w:eastAsia="hr-HR"/>
        </w:rPr>
        <w:t xml:space="preserve"> za</w:t>
      </w:r>
      <w:r w:rsidRPr="00896F71">
        <w:rPr>
          <w:rFonts w:ascii="Times New Roman" w:hAnsi="Times New Roman" w:cs="Times New Roman"/>
          <w:lang w:eastAsia="hr-HR"/>
        </w:rPr>
        <w:t xml:space="preserve"> ezofagealnu </w:t>
      </w:r>
      <w:proofErr w:type="spellStart"/>
      <w:r w:rsidRPr="00896F71">
        <w:rPr>
          <w:rFonts w:ascii="Times New Roman" w:hAnsi="Times New Roman" w:cs="Times New Roman"/>
          <w:lang w:eastAsia="hr-HR"/>
        </w:rPr>
        <w:t>manometriju</w:t>
      </w:r>
      <w:proofErr w:type="spellEnd"/>
      <w:r w:rsidR="005E33B1" w:rsidRPr="00896F71">
        <w:rPr>
          <w:rFonts w:ascii="Times New Roman" w:hAnsi="Times New Roman" w:cs="Times New Roman"/>
          <w:lang w:eastAsia="hr-HR"/>
        </w:rPr>
        <w:t>, mjerenje tjelesne temperature, neinvazivno mjerenje arterijskog krvnog tlaka,</w:t>
      </w:r>
      <w:r w:rsidR="00896F71" w:rsidRPr="00896F71">
        <w:rPr>
          <w:rFonts w:ascii="Times New Roman" w:hAnsi="Times New Roman" w:cs="Times New Roman"/>
          <w:lang w:eastAsia="hr-HR"/>
        </w:rPr>
        <w:t xml:space="preserve"> </w:t>
      </w:r>
      <w:proofErr w:type="spellStart"/>
      <w:r w:rsidR="00896F71" w:rsidRPr="00896F71">
        <w:rPr>
          <w:rFonts w:ascii="Times New Roman" w:hAnsi="Times New Roman" w:cs="Times New Roman"/>
          <w:lang w:eastAsia="hr-HR"/>
        </w:rPr>
        <w:t>transkutano</w:t>
      </w:r>
      <w:proofErr w:type="spellEnd"/>
      <w:r w:rsidR="00896F71" w:rsidRPr="00896F71">
        <w:rPr>
          <w:rFonts w:ascii="Times New Roman" w:hAnsi="Times New Roman" w:cs="Times New Roman"/>
          <w:lang w:eastAsia="hr-HR"/>
        </w:rPr>
        <w:t xml:space="preserve"> mjerenje</w:t>
      </w:r>
      <w:r w:rsidR="00896F71" w:rsidRPr="00896F71">
        <w:rPr>
          <w:rFonts w:ascii="Times New Roman" w:hAnsi="Times New Roman" w:cs="Times New Roman"/>
        </w:rPr>
        <w:t xml:space="preserve"> </w:t>
      </w:r>
      <w:r w:rsidR="00896F71" w:rsidRPr="00F73824">
        <w:rPr>
          <w:rFonts w:ascii="Times New Roman" w:eastAsia="Cambria" w:hAnsi="Times New Roman" w:cs="Times New Roman"/>
          <w:sz w:val="24"/>
          <w:szCs w:val="24"/>
        </w:rPr>
        <w:t>O</w:t>
      </w:r>
      <w:r w:rsidR="00896F71" w:rsidRPr="00F73824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="00896F71" w:rsidRPr="00896F71">
        <w:rPr>
          <w:rFonts w:ascii="Times New Roman" w:hAnsi="Times New Roman" w:cs="Times New Roman"/>
        </w:rPr>
        <w:t xml:space="preserve"> </w:t>
      </w:r>
      <w:r w:rsidR="00896F71" w:rsidRPr="00896F71">
        <w:rPr>
          <w:rFonts w:ascii="Times New Roman" w:hAnsi="Times New Roman" w:cs="Times New Roman"/>
        </w:rPr>
        <w:t>i C</w:t>
      </w:r>
      <w:r w:rsidR="00896F71" w:rsidRPr="00F73824">
        <w:rPr>
          <w:rFonts w:ascii="Times New Roman" w:eastAsia="Cambria" w:hAnsi="Times New Roman" w:cs="Times New Roman"/>
          <w:sz w:val="24"/>
          <w:szCs w:val="24"/>
        </w:rPr>
        <w:t>O</w:t>
      </w:r>
      <w:r w:rsidR="00896F71" w:rsidRPr="00F73824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="00896F71" w:rsidRPr="00896F71">
        <w:rPr>
          <w:rFonts w:ascii="Times New Roman" w:hAnsi="Times New Roman" w:cs="Times New Roman"/>
        </w:rPr>
        <w:t xml:space="preserve"> i slično</w:t>
      </w:r>
    </w:p>
    <w:p w:rsidR="00F73824" w:rsidRPr="00896F71" w:rsidRDefault="00F73824" w:rsidP="001D1558">
      <w:pPr>
        <w:widowControl w:val="0"/>
        <w:numPr>
          <w:ilvl w:val="0"/>
          <w:numId w:val="3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>različiti dodatni uređaji specifični za dijagnostičke postupke u sklopu medicine spavanja i sl</w:t>
      </w:r>
      <w:r w:rsidR="00A25D84"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>ično</w:t>
      </w:r>
      <w:r w:rsidRPr="00896F71">
        <w:rPr>
          <w:rFonts w:ascii="Times New Roman" w:eastAsia="Times New Roman" w:hAnsi="Times New Roman" w:cs="Times New Roman"/>
          <w:sz w:val="24"/>
          <w:szCs w:val="19"/>
          <w:lang w:eastAsia="hr-HR"/>
        </w:rPr>
        <w:t>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Radnici: 1 doktor </w:t>
      </w: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medicine osposobljen za medicinu spavanja –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somnolog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završenim jednogodišnjim poslijediplomskim specijalističkim studijem Medicina spavanja na medicinskom fakultetu i 3 medicinske sestre opće njege (od čega 1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prvostupnik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/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ca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sestrinstva) s dodatnim usavršavanjem iz medicine spavanja za 8 sati radnog vremena.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Dijagnostički postupci koji se provode u centru za medicinu spavanja uključuju: uzimanje anamneze spavanja,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cjelonoćnu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polisomnografiju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cjelonoćnu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poligrafiju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višestruki test latencije spavanja (MSLT), višestruki test održavanja budnosti (MWT), vođenje dnevnika spavanja, provođenje upitnika vezanih uz spavanje (primjerice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Pittsburgh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Sleep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Quality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Index (PSQI),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Epworthova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ljestvica pospanosti (ESS),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Stanfordska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ljestvica pospanosti (SSS), STOP i STOP-BANG upitnici i sl., provođenje psihologijskih upitnika,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neuropsihologijsko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testiranje i ostalo.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Dodatni dijagnostički postupci koji se mogu provoditi u centru za medicinu spavanja uključuju: ezofagealnu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manometriju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ezofagealnu pH-metriju,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penilnu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tumescenciju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(ne)invazivno mjerenje arterijskoga krvnog tlaka, prošireni EEG, prošireni EMG,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videometriju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pulsnu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pletizmografiju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ili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tonometriju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i slično.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Članak 35.c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medicine spavanja u specijaliziranom laboratoriju za poremećaje disanja tijekom spavanja potrebno je osigurati sljedeće prostorije:</w:t>
      </w:r>
    </w:p>
    <w:p w:rsidR="00F73824" w:rsidRPr="00F73824" w:rsidRDefault="00F73824" w:rsidP="00F73824">
      <w:pPr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lastRenderedPageBreak/>
        <w:t>prostoriju od najmanje 12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, za izvođenje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cjelonoćnih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polisomnografskih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ili poligrafskih snimanja za jednu osobu</w:t>
      </w:r>
    </w:p>
    <w:p w:rsidR="00F73824" w:rsidRPr="00F73824" w:rsidRDefault="00F73824" w:rsidP="00F73824">
      <w:pPr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radni analitički prostor od najmanje 12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</w:p>
    <w:p w:rsidR="00F73824" w:rsidRPr="00F73824" w:rsidRDefault="00F73824" w:rsidP="00F73824">
      <w:pPr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spremište od najmanje 2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</w:p>
    <w:p w:rsidR="00F73824" w:rsidRPr="00F73824" w:rsidRDefault="00F73824" w:rsidP="00F73824">
      <w:pPr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prostoriju za prijam ispitanika i administrativne poslove od najmanje 9 m</w:t>
      </w:r>
      <w:r w:rsidRPr="00F73824">
        <w:rPr>
          <w:rFonts w:ascii="Times New Roman" w:eastAsia="Times New Roman" w:hAnsi="Times New Roman" w:cs="Times New Roman"/>
          <w:sz w:val="24"/>
          <w:szCs w:val="19"/>
          <w:vertAlign w:val="superscript"/>
          <w:lang w:eastAsia="hr-HR"/>
        </w:rPr>
        <w:t>2</w:t>
      </w: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 time da širina ili dužina ne mogu biti manje od 3 m</w:t>
      </w:r>
    </w:p>
    <w:p w:rsidR="00F73824" w:rsidRPr="00F73824" w:rsidRDefault="00F73824" w:rsidP="00F73824">
      <w:pPr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sanitarni čvor za osoblje i sanitarni čvor za ispitanike.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Specijalizirani laboratorij za poremećaje disanja tijekom spavanja mora imati sljedeću obveznu opću opremu:</w:t>
      </w:r>
    </w:p>
    <w:p w:rsidR="00F73824" w:rsidRPr="00F73824" w:rsidRDefault="00F73824" w:rsidP="00F73824">
      <w:pPr>
        <w:widowControl w:val="0"/>
        <w:numPr>
          <w:ilvl w:val="0"/>
          <w:numId w:val="5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uređaj za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cjelonoćnu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polisomnografiju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 pripadajućom računalnom opremom i softverom za analizu</w:t>
      </w:r>
      <w:r w:rsidR="00E24EC6">
        <w:rPr>
          <w:rFonts w:ascii="Times New Roman" w:eastAsia="Times New Roman" w:hAnsi="Times New Roman" w:cs="Times New Roman"/>
          <w:sz w:val="24"/>
          <w:szCs w:val="19"/>
          <w:lang w:eastAsia="hr-HR"/>
        </w:rPr>
        <w:t>, pisačem i video nadzorom s mogućnošću snimanja</w:t>
      </w: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</w:p>
    <w:p w:rsidR="00F73824" w:rsidRPr="00F73824" w:rsidRDefault="00F73824" w:rsidP="00F73824">
      <w:pPr>
        <w:widowControl w:val="0"/>
        <w:numPr>
          <w:ilvl w:val="0"/>
          <w:numId w:val="5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uređaj za poligrafsko snimanje poremećaja disanja tijekom spavanja s pripadajućom računalnom opremom i softverom za analizu </w:t>
      </w:r>
    </w:p>
    <w:p w:rsidR="00F73824" w:rsidRPr="00F73824" w:rsidRDefault="00F73824" w:rsidP="00F73824">
      <w:pPr>
        <w:widowControl w:val="0"/>
        <w:numPr>
          <w:ilvl w:val="0"/>
          <w:numId w:val="5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PAP uređaj (CPAP, APAP, BIPAP) </w:t>
      </w:r>
    </w:p>
    <w:p w:rsidR="00F73824" w:rsidRPr="00F73824" w:rsidRDefault="00F73824" w:rsidP="00F73824">
      <w:pPr>
        <w:widowControl w:val="0"/>
        <w:numPr>
          <w:ilvl w:val="0"/>
          <w:numId w:val="5"/>
        </w:numPr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>te pripadajuće maske različitih veličina.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Radnici: 1 doktor </w:t>
      </w: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medicine osposobljen za medicinu spavanja –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somnolog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završenim jednogodišnjim poslijediplomskim specijalističkim studijem Medicina spavanja na medicinskom fakultetu i</w:t>
      </w:r>
      <w:r w:rsidRPr="00F73824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1 medicinska sestra opće njege  s dodatnim usavršavanjem iz medicine spavanja za  8 sati radnog vremena.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Dijagnostički postupci koji se provode u specijaliziranom laboratoriju za poremećaje disanja tijekom spavanja uključuju:</w:t>
      </w:r>
      <w:r w:rsidR="00724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uzimanje anamneze spavanja,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cjelonoćnu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poligrafiju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, vođenje dnevnika spavanja, provođen</w:t>
      </w:r>
      <w:r w:rsidR="00724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upitnika vezanih uz spavanje,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Pittsburgh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Sleep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Quality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Index (PSQI),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Epworthova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ljestvica pospanosti (ESS),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Stanfordska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ljestvica pospanosti (SSS), STOP i STOP-BANG upitnici</w:t>
      </w:r>
      <w:r w:rsidR="00724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Berlinski upitnik, </w:t>
      </w:r>
      <w:proofErr w:type="spellStart"/>
      <w:r w:rsidR="00724BCB">
        <w:rPr>
          <w:rFonts w:ascii="Times New Roman" w:eastAsia="Times New Roman" w:hAnsi="Times New Roman" w:cs="Times New Roman"/>
          <w:sz w:val="24"/>
          <w:szCs w:val="24"/>
          <w:lang w:eastAsia="hr-HR"/>
        </w:rPr>
        <w:t>Bruxelleski</w:t>
      </w:r>
      <w:proofErr w:type="spellEnd"/>
      <w:r w:rsidR="00724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upitnik i slično</w:t>
      </w:r>
      <w:bookmarkStart w:id="0" w:name="_GoBack"/>
      <w:bookmarkEnd w:id="0"/>
      <w:r w:rsidRPr="00F738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3824" w:rsidRPr="00F73824" w:rsidRDefault="00F73824" w:rsidP="00F738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Dodatni dijagnostički postupci koji se mogu provoditi u specijaliziranom laboratoriju za poremećaje disanja tijekom spavanja uključuju: ezofagealnu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manometriju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>, ezofagealnu pH-metriju i sl.</w:t>
      </w: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Članak 35.d</w:t>
      </w: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Minimalne tehničke mogućnosti uređaja za standardnu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polisomnografiju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u medicini spavanja čine: 3 EEG odvoda (frontalni, centralni i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okcipitalni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>), 2 EOG odvoda, 1 EMG odvod (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mentalis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submentalis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>), SaO</w:t>
      </w:r>
      <w:r w:rsidRPr="00F73824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pulsna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oksimetrija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), signal za hrkanje (mikrofon), senzor položaja tijela, signali za nazalni tlak i protok zraka kroz usta i nos, senzori za respiracijska nastojanja grudne/trbušne muskulature, 2 EMG odvoda za noge (prednji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tibijalni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mišić), EKG (jedan odvod) te video nadzor. 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Članak 35.e</w:t>
      </w: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Minimalne tehničke mogućnosti uređaja za standardnu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poligrafiju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u detekciji poremećaja disanja tijekom spavanja čine: signali za nazalni tlak i protok zraka kroz usta i nos, SaO</w:t>
      </w:r>
      <w:r w:rsidRPr="00F73824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pulsna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oksimetrija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), signal za hrkanje (mikrofon), senzor položaja tijela, senzori za respiracijska nastojanja grudne/trbušne muskulature, EKG (jedan odvod).“. 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7.</w:t>
      </w:r>
    </w:p>
    <w:p w:rsidR="00F73824" w:rsidRPr="00F73824" w:rsidRDefault="00F73824" w:rsidP="00F7382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36. stavku 1. riječi: „Djelatnosti koje su u sastavu doma zdravlja“ zamjenjuju se riječima: „Ordinacije koje djelatnost obavljaju u prostoru doma zdravlja“. 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8.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824">
        <w:rPr>
          <w:rFonts w:ascii="Times New Roman" w:hAnsi="Times New Roman" w:cs="Times New Roman"/>
          <w:color w:val="000000" w:themeColor="text1"/>
          <w:sz w:val="24"/>
          <w:szCs w:val="24"/>
        </w:rPr>
        <w:t>U članku 45. stavku 3. točki 16) stavak 3. mijenja se i glasi: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Times New Roman" w:hAnsi="Times New Roman" w:cs="Times New Roman"/>
          <w:color w:val="000000" w:themeColor="text1"/>
          <w:sz w:val="24"/>
          <w:szCs w:val="24"/>
        </w:rPr>
        <w:t>U bolnici koja postelje za palijativnu skrb ima integrirane na drugim odjelima u okviru drugih djelatnosti, bolesnička soba za palijativnu skrb mora osigurati uvjete iz stavka 1. podstavaka 1. i 2. ove točke.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24">
        <w:rPr>
          <w:rFonts w:ascii="Times New Roman" w:hAnsi="Times New Roman" w:cs="Times New Roman"/>
          <w:sz w:val="24"/>
          <w:szCs w:val="24"/>
        </w:rPr>
        <w:t>Iza stavka 3. dodaje se stavak 4. koji glasi: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bolnici koja postelje za palijativnu skrb ima integrirane na drugim odjelima u okviru drugih djelatnosti u pogledu radnika potrebno je osigurati  1 doktora medicine specijalistu s posebnom edukacijom iz palijativne skrbi, 1 medicinsku sestru opće njege s posebnom edukacijom iz palijativne skrbi za 8 sati radnog vremena. Magistar socijalnog rada s posebnom edukacijom za pristup bolesniku na palijativnoj skrbi, doktor medicine specijalist psihijatrije ili magistar psihologije s posebnom edukacijom za pristup bolesniku na palijativnoj skrbi, radni terapeut s posebnom edukacijom za pristup bolesniku na palijativnoj skrbi, stručni </w:t>
      </w:r>
      <w:proofErr w:type="spellStart"/>
      <w:r w:rsidRPr="00F73824">
        <w:rPr>
          <w:rFonts w:ascii="Times New Roman" w:hAnsi="Times New Roman" w:cs="Times New Roman"/>
          <w:color w:val="000000" w:themeColor="text1"/>
          <w:sz w:val="24"/>
          <w:szCs w:val="24"/>
        </w:rPr>
        <w:t>prvostupnik</w:t>
      </w:r>
      <w:proofErr w:type="spellEnd"/>
      <w:r w:rsidRPr="00F7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fizioterapije s posebnom edukacijom iz palijativne skrbi na raspolaganju.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F73824" w:rsidRPr="00F73824" w:rsidRDefault="00F73824" w:rsidP="00F73824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F73824" w:rsidRPr="00F73824" w:rsidRDefault="00F73824" w:rsidP="00F73824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9.</w:t>
      </w:r>
    </w:p>
    <w:p w:rsidR="00F73824" w:rsidRPr="00F73824" w:rsidRDefault="00F73824" w:rsidP="00F73824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p w:rsidR="00F73824" w:rsidRPr="00F73824" w:rsidRDefault="00F73824" w:rsidP="00F73824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54. mijenja se i glasi:</w:t>
      </w:r>
    </w:p>
    <w:p w:rsidR="00F73824" w:rsidRPr="00F73824" w:rsidRDefault="00F73824" w:rsidP="00F73824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F73824" w:rsidRPr="00F73824" w:rsidRDefault="00F73824" w:rsidP="00F7382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obavljanje djelatnosti iz svog djelokruga Hrvatski zavod za javno zdravstvo mora imati odgovarajući broj: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rad epidemiološke djelatnosti za zarazne bolesti, uključujući i vođenje pripadajućih državnih javnozdravstvenih registara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rad epidemiološke djelatnosti za kronične nezarazne i masovne bolesti uključujući i vođenje pripadajućih državnih javnozdravstvenih registara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djelatnost zdravstvene ekologije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djelatnost mikrobiologije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prostorija za djelatnost </w:t>
      </w:r>
      <w:r w:rsidRPr="00F73824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javnog zdravstva </w:t>
      </w: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uključujući i vođenje pripadajućih državnih javnozdravstvenih registara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prostorija za djelatnost školske i </w:t>
      </w:r>
      <w:r w:rsidRPr="00F73824">
        <w:rPr>
          <w:rFonts w:ascii="Minion Pro" w:eastAsia="Times New Roman" w:hAnsi="Minion Pro" w:cs="Times New Roman"/>
          <w:sz w:val="24"/>
          <w:szCs w:val="24"/>
          <w:lang w:eastAsia="hr-HR"/>
        </w:rPr>
        <w:t>adolescentne</w:t>
      </w:r>
      <w:r w:rsidRPr="00F73824"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  <w:t xml:space="preserve"> </w:t>
      </w: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medicine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zdravstvenu zaštitu mentalnog zdravlja, prevenciju i izvanbolničko liječenje ovisnosti i vođenje pripadajućih državnih javnozdravstvenih registara</w:t>
      </w:r>
    </w:p>
    <w:p w:rsidR="00F73824" w:rsidRPr="00F73824" w:rsidRDefault="00F73824" w:rsidP="00F73824">
      <w:pPr>
        <w:numPr>
          <w:ilvl w:val="0"/>
          <w:numId w:val="6"/>
        </w:numPr>
        <w:spacing w:after="225" w:line="240" w:lineRule="auto"/>
        <w:contextualSpacing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prostorija za djelatnost promicanja zdravlja i zdravstvenog prosvjećivanja.</w:t>
      </w:r>
    </w:p>
    <w:p w:rsidR="00F73824" w:rsidRPr="00F73824" w:rsidRDefault="00F73824" w:rsidP="00F7382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Hrvatski zavod za javno zdravstvo za obavljanje djelatnosti propisanih zakonom mora imati uz navedene prostorije i laboratorije opremljene odgovarajućom medicinsko-tehničkom opremom za </w:t>
      </w:r>
      <w:r w:rsidRPr="00F73824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obavljanje djelatnosti humane mikrobiologije uključujući referentnu mikrobiološku djelatnost te djelatnost zdravstvene ekologije </w:t>
      </w: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(mikrobiološki, kemijski, GMO) za praćenje, analizu, nadzor i znanstvena istraživanje zdravstvenog stanja stanovništva, zdravstvene ispravnosti hrane za ljude i životinje i predmeta opće uporabe te vode za ljudsku potrošnju i </w:t>
      </w: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drugih voda, uzroka pojava i širenja zaraznih i nezaraznih bolesti te utjecaja ekoloških faktora na zdravlje.</w:t>
      </w:r>
    </w:p>
    <w:p w:rsidR="00F73824" w:rsidRPr="00F73824" w:rsidRDefault="00F73824" w:rsidP="00F7382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Hrvatski zavod za javno zdravstvo mora osigurati odgovarajući prostor i medicinsko-tehničku i drugu opremu po pojedinim djelatnostima, sukladno ovom Pravilniku te dodatnu opremu prema stručnim zahtjevima.</w:t>
      </w:r>
    </w:p>
    <w:p w:rsidR="00F73824" w:rsidRPr="00F73824" w:rsidRDefault="00F73824" w:rsidP="00F738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Hrvatski zavod za javno zdravstvo mora osigurati potreban broj radnika, odnosno stručnih timova ovisno o vrsti pojedinih djelatnosti te razmjerno opsegu svog djelovanja.</w:t>
      </w:r>
      <w:r w:rsidRPr="00F7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73824" w:rsidRPr="00F73824" w:rsidRDefault="00F73824" w:rsidP="00F7382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Prijelazne i završne odredbe</w:t>
      </w:r>
    </w:p>
    <w:p w:rsidR="00F73824" w:rsidRPr="00F73824" w:rsidRDefault="00F73824" w:rsidP="00F7382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7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Doktor medicine koji je položio ispit za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somnologa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pred Europskim istraživačkim društvom za medicinu spavanja (engl. </w:t>
      </w:r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European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Sleep</w:t>
      </w:r>
      <w:proofErr w:type="spellEnd"/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 Research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Society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) ili koji do dana stupanja na snagu ovoga Pravilnika najmanje deset godina aktivno radi u području medicine spavanja u zdravstvenim ustanovama Republike Hrvatske može i nadalje provoditi djelatnost medicine spavanja –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somnologiju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, bez provođenja osposobljavanja propisanog odredbom članka 3. stavka 1. i članka 5. stavka 2. ovoga Pravilnika.  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U specijaliziranom laboratoriju za poremećaje disanja tijekom spavanja može raditi i doktor medicine koji je položio odgovarajući ispit pred Europskim društvom za disanje (</w:t>
      </w:r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European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Respiratory</w:t>
      </w:r>
      <w:proofErr w:type="spellEnd"/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Society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>) ili u okviru Svjetskoga društva za spavanje (</w:t>
      </w:r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World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Sleep</w:t>
      </w:r>
      <w:proofErr w:type="spellEnd"/>
      <w:r w:rsidRPr="00F7382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F73824">
        <w:rPr>
          <w:rFonts w:ascii="Times New Roman" w:eastAsia="Cambria" w:hAnsi="Times New Roman" w:cs="Times New Roman"/>
          <w:i/>
          <w:sz w:val="24"/>
          <w:szCs w:val="24"/>
        </w:rPr>
        <w:t>Society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) sukladno smjernicama  Hrvatskoga </w:t>
      </w:r>
      <w:proofErr w:type="spellStart"/>
      <w:r w:rsidRPr="00F73824">
        <w:rPr>
          <w:rFonts w:ascii="Times New Roman" w:eastAsia="Cambria" w:hAnsi="Times New Roman" w:cs="Times New Roman"/>
          <w:sz w:val="24"/>
          <w:szCs w:val="24"/>
        </w:rPr>
        <w:t>somnološkog</w:t>
      </w:r>
      <w:proofErr w:type="spellEnd"/>
      <w:r w:rsidRPr="00F73824">
        <w:rPr>
          <w:rFonts w:ascii="Times New Roman" w:eastAsia="Cambria" w:hAnsi="Times New Roman" w:cs="Times New Roman"/>
          <w:sz w:val="24"/>
          <w:szCs w:val="24"/>
        </w:rPr>
        <w:t xml:space="preserve"> društva – Društva za medicinu spavanja Hrvatskoga liječničkog zbora (HSD-DMS HLZ-a).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3824">
        <w:rPr>
          <w:rFonts w:ascii="Times New Roman" w:eastAsia="Cambria" w:hAnsi="Times New Roman" w:cs="Times New Roman"/>
          <w:b/>
          <w:sz w:val="24"/>
          <w:szCs w:val="24"/>
        </w:rPr>
        <w:t>Članak 11.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Zdravstveni radnici koji na dan stupanja na snagu ovoga Pravilnika rade najmanje tri godine u djelatnosti dentalne medicine u timu s doktorom dentalne medicine, nastavljaju obavljati poslove dentalnog asistenta.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73824">
        <w:rPr>
          <w:rFonts w:ascii="Times New Roman" w:eastAsia="Cambria" w:hAnsi="Times New Roman" w:cs="Times New Roman"/>
          <w:b/>
          <w:sz w:val="24"/>
          <w:szCs w:val="24"/>
        </w:rPr>
        <w:t>Članak 12.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824">
        <w:rPr>
          <w:rFonts w:ascii="Times New Roman" w:eastAsia="Cambria" w:hAnsi="Times New Roman" w:cs="Times New Roman"/>
          <w:sz w:val="24"/>
          <w:szCs w:val="24"/>
        </w:rPr>
        <w:t>Zdravstvene ustanove, zdravstveni radnici koji obavljaju zdravstvenu djelatnost u privatnoj praksi te trgovačka društva koja obavljaju zdravstvenu djelatnost, a koja su započela s radom prije stupanja na snagu ovoga Pravilnika, moraju uskladiti svoj rad s odredbama ovoga Pravilnika u roku od jedne godine od dana stupanja na snagu ovoga Pravilnika.</w:t>
      </w:r>
    </w:p>
    <w:p w:rsidR="00F73824" w:rsidRPr="00F73824" w:rsidRDefault="00F73824" w:rsidP="00F7382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824">
        <w:rPr>
          <w:rFonts w:ascii="Times New Roman" w:eastAsia="Calibri" w:hAnsi="Times New Roman" w:cs="Times New Roman"/>
          <w:b/>
          <w:bCs/>
          <w:sz w:val="24"/>
          <w:szCs w:val="24"/>
        </w:rPr>
        <w:t>Članak 13.</w:t>
      </w:r>
    </w:p>
    <w:p w:rsidR="00F73824" w:rsidRPr="00F73824" w:rsidRDefault="00F73824" w:rsidP="00F738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382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73824">
        <w:rPr>
          <w:rFonts w:ascii="Times New Roman" w:eastAsia="Calibri" w:hAnsi="Times New Roman" w:cs="Times New Roman"/>
          <w:sz w:val="24"/>
          <w:szCs w:val="24"/>
          <w:lang w:eastAsia="hr-HR"/>
        </w:rPr>
        <w:t>Ovaj Pravilnik stupa na snagu osmoga dana od dana objave u „Narodnim novinama“.</w:t>
      </w:r>
    </w:p>
    <w:p w:rsidR="00F73824" w:rsidRPr="00F73824" w:rsidRDefault="00F73824" w:rsidP="00F73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73824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F73824" w:rsidRPr="00F73824" w:rsidRDefault="00F73824" w:rsidP="00F7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824">
        <w:rPr>
          <w:rFonts w:ascii="Times New Roman" w:eastAsia="Calibri" w:hAnsi="Times New Roman" w:cs="Times New Roman"/>
          <w:sz w:val="24"/>
          <w:szCs w:val="24"/>
        </w:rPr>
        <w:t>URBROJ:</w:t>
      </w:r>
    </w:p>
    <w:p w:rsidR="00F73824" w:rsidRPr="00F73824" w:rsidRDefault="00F73824" w:rsidP="00F7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824">
        <w:rPr>
          <w:rFonts w:ascii="Times New Roman" w:eastAsia="Calibri" w:hAnsi="Times New Roman" w:cs="Times New Roman"/>
          <w:sz w:val="24"/>
          <w:szCs w:val="24"/>
        </w:rPr>
        <w:t>Zagreb,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MINISTAR</w:t>
      </w:r>
    </w:p>
    <w:p w:rsidR="00F73824" w:rsidRPr="00F73824" w:rsidRDefault="00F73824" w:rsidP="00F7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24" w:rsidRPr="00F73824" w:rsidRDefault="00F73824" w:rsidP="00F73824">
      <w:pPr>
        <w:spacing w:after="0" w:line="240" w:lineRule="auto"/>
        <w:ind w:left="4248"/>
        <w:jc w:val="both"/>
      </w:pPr>
      <w:r w:rsidRPr="00F73824">
        <w:rPr>
          <w:rFonts w:ascii="Times New Roman" w:eastAsia="Times New Roman" w:hAnsi="Times New Roman" w:cs="Times New Roman"/>
          <w:sz w:val="24"/>
          <w:szCs w:val="24"/>
        </w:rPr>
        <w:t xml:space="preserve">         prof. dr.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</w:rPr>
        <w:t xml:space="preserve">. Milan </w:t>
      </w:r>
      <w:proofErr w:type="spellStart"/>
      <w:r w:rsidRPr="00F73824">
        <w:rPr>
          <w:rFonts w:ascii="Times New Roman" w:eastAsia="Times New Roman" w:hAnsi="Times New Roman" w:cs="Times New Roman"/>
          <w:sz w:val="24"/>
          <w:szCs w:val="24"/>
        </w:rPr>
        <w:t>Kujundžić</w:t>
      </w:r>
      <w:proofErr w:type="spellEnd"/>
      <w:r w:rsidRPr="00F73824">
        <w:rPr>
          <w:rFonts w:ascii="Times New Roman" w:eastAsia="Times New Roman" w:hAnsi="Times New Roman" w:cs="Times New Roman"/>
          <w:sz w:val="24"/>
          <w:szCs w:val="24"/>
        </w:rPr>
        <w:t>, dr. med.     </w:t>
      </w:r>
    </w:p>
    <w:p w:rsidR="005A065E" w:rsidRDefault="005A065E"/>
    <w:sectPr w:rsidR="005A065E" w:rsidSect="00EA43D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5B" w:rsidRDefault="00D2615B">
      <w:pPr>
        <w:spacing w:after="0" w:line="240" w:lineRule="auto"/>
      </w:pPr>
      <w:r>
        <w:separator/>
      </w:r>
    </w:p>
  </w:endnote>
  <w:endnote w:type="continuationSeparator" w:id="0">
    <w:p w:rsidR="00D2615B" w:rsidRDefault="00D2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5084"/>
      <w:docPartObj>
        <w:docPartGallery w:val="Page Numbers (Bottom of Page)"/>
        <w:docPartUnique/>
      </w:docPartObj>
    </w:sdtPr>
    <w:sdtEndPr/>
    <w:sdtContent>
      <w:p w:rsidR="00EA43DC" w:rsidRDefault="00F738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CB">
          <w:rPr>
            <w:noProof/>
          </w:rPr>
          <w:t>4</w:t>
        </w:r>
        <w:r>
          <w:fldChar w:fldCharType="end"/>
        </w:r>
      </w:p>
    </w:sdtContent>
  </w:sdt>
  <w:p w:rsidR="00EA43DC" w:rsidRDefault="00D261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5B" w:rsidRDefault="00D2615B">
      <w:pPr>
        <w:spacing w:after="0" w:line="240" w:lineRule="auto"/>
      </w:pPr>
      <w:r>
        <w:separator/>
      </w:r>
    </w:p>
  </w:footnote>
  <w:footnote w:type="continuationSeparator" w:id="0">
    <w:p w:rsidR="00D2615B" w:rsidRDefault="00D2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20"/>
    <w:multiLevelType w:val="hybridMultilevel"/>
    <w:tmpl w:val="FD843D4E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880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567B3"/>
    <w:multiLevelType w:val="hybridMultilevel"/>
    <w:tmpl w:val="19E23CCC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C3AF5"/>
    <w:multiLevelType w:val="hybridMultilevel"/>
    <w:tmpl w:val="1E9A44B0"/>
    <w:lvl w:ilvl="0" w:tplc="32880E7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519A5A90"/>
    <w:multiLevelType w:val="hybridMultilevel"/>
    <w:tmpl w:val="1EAE6AF2"/>
    <w:lvl w:ilvl="0" w:tplc="32880E7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64C23384"/>
    <w:multiLevelType w:val="hybridMultilevel"/>
    <w:tmpl w:val="45DC68FC"/>
    <w:lvl w:ilvl="0" w:tplc="32880E7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i/>
      </w:rPr>
    </w:lvl>
    <w:lvl w:ilvl="1" w:tplc="FD3ED8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20DDC"/>
    <w:multiLevelType w:val="hybridMultilevel"/>
    <w:tmpl w:val="B8B461FA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880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7"/>
    <w:rsid w:val="000333D2"/>
    <w:rsid w:val="00167560"/>
    <w:rsid w:val="002F5CE7"/>
    <w:rsid w:val="005A065E"/>
    <w:rsid w:val="005E33B1"/>
    <w:rsid w:val="00724BCB"/>
    <w:rsid w:val="00896F71"/>
    <w:rsid w:val="00A25D84"/>
    <w:rsid w:val="00B12A53"/>
    <w:rsid w:val="00D2615B"/>
    <w:rsid w:val="00E24EC6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BDA9"/>
  <w15:chartTrackingRefBased/>
  <w15:docId w15:val="{26BD27AA-7B5A-417E-8525-AE712FEB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Jelka</dc:creator>
  <cp:keywords/>
  <dc:description/>
  <cp:lastModifiedBy>Lesar Jelka</cp:lastModifiedBy>
  <cp:revision>9</cp:revision>
  <dcterms:created xsi:type="dcterms:W3CDTF">2018-05-16T06:36:00Z</dcterms:created>
  <dcterms:modified xsi:type="dcterms:W3CDTF">2018-05-16T07:00:00Z</dcterms:modified>
</cp:coreProperties>
</file>